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960" w:type="dxa"/>
        <w:tblCellMar>
          <w:left w:w="0" w:type="dxa"/>
          <w:right w:w="0" w:type="dxa"/>
        </w:tblCellMar>
        <w:tblLook w:val="0000"/>
      </w:tblPr>
      <w:tblGrid>
        <w:gridCol w:w="3120"/>
        <w:gridCol w:w="9840"/>
      </w:tblGrid>
      <w:tr w:rsidR="009F081D" w:rsidRPr="009F081D" w:rsidTr="009F081D">
        <w:trPr>
          <w:trHeight w:val="585"/>
        </w:trPr>
        <w:tc>
          <w:tcPr>
            <w:tcW w:w="31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tcPr>
          <w:p w:rsidR="00000000" w:rsidRPr="009F081D" w:rsidRDefault="009F081D" w:rsidP="009F081D">
            <w:pPr>
              <w:rPr>
                <w:b/>
                <w:bCs/>
                <w:lang w:val="en-US"/>
              </w:rPr>
            </w:pPr>
            <w:r>
              <w:rPr>
                <w:b/>
                <w:bCs/>
                <w:lang w:val="en-US"/>
              </w:rPr>
              <w:t>Steps</w:t>
            </w:r>
          </w:p>
        </w:tc>
        <w:tc>
          <w:tcPr>
            <w:tcW w:w="984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tcPr>
          <w:p w:rsidR="00000000" w:rsidRPr="009F081D" w:rsidRDefault="009F081D" w:rsidP="009F081D">
            <w:pPr>
              <w:rPr>
                <w:b/>
                <w:bCs/>
                <w:lang w:val="en-US"/>
              </w:rPr>
            </w:pPr>
            <w:r>
              <w:rPr>
                <w:b/>
                <w:bCs/>
                <w:lang w:val="en-US"/>
              </w:rPr>
              <w:t>Explanations</w:t>
            </w:r>
          </w:p>
        </w:tc>
      </w:tr>
      <w:tr w:rsidR="009F081D" w:rsidRPr="009F081D" w:rsidTr="009F081D">
        <w:trPr>
          <w:trHeight w:val="585"/>
        </w:trPr>
        <w:tc>
          <w:tcPr>
            <w:tcW w:w="31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b/>
                <w:bCs/>
                <w:lang w:val="en-US"/>
              </w:rPr>
              <w:t>1. Exploratory Contacts</w:t>
            </w:r>
          </w:p>
        </w:tc>
        <w:tc>
          <w:tcPr>
            <w:tcW w:w="984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Preliminary calls or letters to knowledgeable individuals in the public, private, and civic sectors to examine the viability and timing of a dialogic approach to a specific issue.</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9F081D" w:rsidRPr="009F081D" w:rsidRDefault="009F081D" w:rsidP="009F081D">
            <w:pPr>
              <w:rPr>
                <w:lang w:val="en-US"/>
              </w:rPr>
            </w:pPr>
            <w:r w:rsidRPr="009F081D">
              <w:rPr>
                <w:b/>
                <w:bCs/>
                <w:lang w:val="en-US"/>
              </w:rPr>
              <w:t xml:space="preserve">2. Issue </w:t>
            </w:r>
            <w:hyperlink r:id="rId4" w:history="1">
              <w:r w:rsidRPr="009F081D">
                <w:rPr>
                  <w:rStyle w:val="Lienhypertexte"/>
                  <w:b/>
                  <w:bCs/>
                  <w:lang w:val="en-US"/>
                </w:rPr>
                <w:t>Framing</w:t>
              </w:r>
            </w:hyperlink>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 xml:space="preserve">The development of a key policy, planning, or regulatory question, or set of questions, to which the dialogue will then seek to develop </w:t>
            </w:r>
            <w:hyperlink r:id="rId5" w:history="1">
              <w:r w:rsidRPr="009F081D">
                <w:rPr>
                  <w:rStyle w:val="Lienhypertexte"/>
                  <w:lang w:val="en-US"/>
                </w:rPr>
                <w:t>consensus</w:t>
              </w:r>
            </w:hyperlink>
            <w:r w:rsidRPr="009F081D">
              <w:rPr>
                <w:lang w:val="en-US"/>
              </w:rPr>
              <w:t xml:space="preserve"> answers.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9F081D" w:rsidRPr="009F081D" w:rsidRDefault="009F081D" w:rsidP="009F081D">
            <w:pPr>
              <w:rPr>
                <w:lang w:val="en-US"/>
              </w:rPr>
            </w:pPr>
            <w:r w:rsidRPr="009F081D">
              <w:rPr>
                <w:b/>
                <w:bCs/>
                <w:lang w:val="en-US"/>
              </w:rPr>
              <w:t>3. Product Framing</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 xml:space="preserve"> An initial conceptualization of possible products, i.e., joint policy recommendations, delineation of issues and options, guidance to government, etc., and possible linkages to formal decision-making.</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9F081D" w:rsidRPr="009F081D" w:rsidRDefault="009F081D" w:rsidP="009F081D">
            <w:pPr>
              <w:rPr>
                <w:lang w:val="en-US"/>
              </w:rPr>
            </w:pPr>
            <w:r w:rsidRPr="009F081D">
              <w:rPr>
                <w:b/>
                <w:bCs/>
                <w:lang w:val="en-US"/>
              </w:rPr>
              <w:t>4. Concept Paper</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The creation of a brief proposal and call for participation that is circulated to prospective participants and funders.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9F081D" w:rsidRPr="009F081D" w:rsidRDefault="009F081D" w:rsidP="009F081D">
            <w:pPr>
              <w:rPr>
                <w:lang w:val="en-US"/>
              </w:rPr>
            </w:pPr>
            <w:r w:rsidRPr="009F081D">
              <w:rPr>
                <w:b/>
                <w:bCs/>
                <w:lang w:val="en-US"/>
              </w:rPr>
              <w:t>5. Financial Commitments</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 xml:space="preserve"> Multilateral pledges to help underwrite a dialogue and its associated costs.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9F081D" w:rsidRPr="009F081D" w:rsidRDefault="009F081D" w:rsidP="009F081D">
            <w:pPr>
              <w:rPr>
                <w:lang w:val="en-US"/>
              </w:rPr>
            </w:pPr>
            <w:r w:rsidRPr="009F081D">
              <w:rPr>
                <w:b/>
                <w:bCs/>
                <w:lang w:val="en-US"/>
              </w:rPr>
              <w:t>6. Co-Conveners</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For some projects, it is useful to identify and invite two respected and leading authorities to serve as "Co-Conveners." Conveners often come to the issue at hand with different histories and viewpoints but are committed to a search for common ground and the exploration of break-through solutions. They lend their name and intellectual leadership.</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b/>
                <w:bCs/>
                <w:lang w:val="en-US"/>
              </w:rPr>
              <w:t>7. Representation</w:t>
            </w: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Ensuring that a broad spectrum of voices and viewpoints are invited to participate and that those invited are, as a condition of participation, committed to disciplined give-and-take discussions.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b/>
                <w:bCs/>
                <w:lang w:val="en-US"/>
              </w:rPr>
              <w:t>8. Work Plan</w:t>
            </w: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A detailed but flexible work plan that corresponds to the needs of the project and that outlines budget and timelines.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9F081D" w:rsidRPr="009F081D" w:rsidRDefault="009F081D" w:rsidP="009F081D">
            <w:pPr>
              <w:rPr>
                <w:lang w:val="en-US"/>
              </w:rPr>
            </w:pPr>
            <w:r w:rsidRPr="009F081D">
              <w:rPr>
                <w:b/>
                <w:bCs/>
                <w:lang w:val="en-US"/>
              </w:rPr>
              <w:t>9. Venue</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A meeting setting that is comfortable and business-like, usually with state-of-the-art audio-visual capabilities if such is available. For some projects, it is useful to organize brief field trips to examine first hand a relevant on-the-ground example of the topic under discussion, i.e., an industrial plant, an eco-system, a meeting with regulators, etc.</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9F081D" w:rsidRPr="009F081D" w:rsidRDefault="009F081D" w:rsidP="009F081D">
            <w:pPr>
              <w:rPr>
                <w:lang w:val="en-US"/>
              </w:rPr>
            </w:pPr>
            <w:r w:rsidRPr="009F081D">
              <w:rPr>
                <w:b/>
                <w:bCs/>
                <w:lang w:val="en-US"/>
              </w:rPr>
              <w:t>10. Briefing Book</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A notebook of background materials is compiled and given to participants in advance of the first meeting. Usually, the briefing book contains issue summaries, a multi-disciplinary history of the issue, position papers, summaries of pertinent research, and other materials that help ground and prepare participants for discussions.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b/>
                <w:bCs/>
                <w:lang w:val="en-US"/>
              </w:rPr>
              <w:t>11. Protocols</w:t>
            </w: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 xml:space="preserve">An initial set of </w:t>
            </w:r>
            <w:hyperlink r:id="rId6" w:history="1">
              <w:r w:rsidRPr="009F081D">
                <w:rPr>
                  <w:rStyle w:val="Lienhypertexte"/>
                  <w:lang w:val="en-US"/>
                </w:rPr>
                <w:t>ground rules</w:t>
              </w:r>
            </w:hyperlink>
            <w:r w:rsidRPr="009F081D">
              <w:rPr>
                <w:lang w:val="en-US"/>
              </w:rPr>
              <w:t xml:space="preserve"> which are negotiated at the first meeting (or prior) and which create common rules of engagement regarding project organization, group decision-making, participation by others, ground rules for media contacts and the use of data and technical information, and table manners.</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b/>
                <w:bCs/>
                <w:lang w:val="en-US"/>
              </w:rPr>
              <w:t>12. Working Groups</w:t>
            </w: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 xml:space="preserve">Many dialogues often require smaller working groups and cross-sector teams that meet between plenary sessions. This allows more in-depth examination of specific sub-issues, </w:t>
            </w:r>
            <w:hyperlink r:id="rId7" w:history="1">
              <w:r w:rsidRPr="009F081D">
                <w:rPr>
                  <w:rStyle w:val="Lienhypertexte"/>
                  <w:lang w:val="en-US"/>
                </w:rPr>
                <w:t>contacts with wider audiences</w:t>
              </w:r>
            </w:hyperlink>
            <w:r w:rsidRPr="009F081D">
              <w:rPr>
                <w:lang w:val="en-US"/>
              </w:rPr>
              <w:t>, and the development of proposals for the full group.</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b/>
                <w:bCs/>
                <w:lang w:val="en-US"/>
              </w:rPr>
              <w:t>13. Use of Experts</w:t>
            </w: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 xml:space="preserve">Certain issues -- climate change, chemical weapons destruction, and watershed restoration -- may need a great deal of </w:t>
            </w:r>
            <w:hyperlink r:id="rId8" w:history="1">
              <w:r w:rsidRPr="009F081D">
                <w:rPr>
                  <w:rStyle w:val="Lienhypertexte"/>
                  <w:lang w:val="en-US"/>
                </w:rPr>
                <w:t>fact-finding</w:t>
              </w:r>
            </w:hyperlink>
            <w:r w:rsidRPr="009F081D">
              <w:rPr>
                <w:lang w:val="en-US"/>
              </w:rPr>
              <w:t xml:space="preserve"> and technical information and, in some cases, new modeling or research roundups. It is useful to work with all participants to define and secure the level of information that is needed to work on the issue at hand, to identify acceptable independent experts when those are appropriate, and to help secure state-of-the-art information.</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9F081D" w:rsidRPr="009F081D" w:rsidRDefault="009F081D" w:rsidP="009F081D">
            <w:pPr>
              <w:rPr>
                <w:lang w:val="en-US"/>
              </w:rPr>
            </w:pPr>
            <w:r w:rsidRPr="009F081D">
              <w:rPr>
                <w:b/>
                <w:bCs/>
                <w:lang w:val="en-US"/>
              </w:rPr>
              <w:t>14. Individual Meetings</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 xml:space="preserve">Policy dialogues typically span a number of months and, in a few cases, more than a year. </w:t>
            </w:r>
            <w:hyperlink r:id="rId9" w:history="1">
              <w:r w:rsidRPr="009F081D">
                <w:rPr>
                  <w:rStyle w:val="Lienhypertexte"/>
                  <w:lang w:val="en-US"/>
                </w:rPr>
                <w:t>Facilitators</w:t>
              </w:r>
            </w:hyperlink>
            <w:r w:rsidRPr="009F081D">
              <w:rPr>
                <w:lang w:val="en-US"/>
              </w:rPr>
              <w:t xml:space="preserve"> and co-conveners may need to spend a considerable amount of time talking with participants between meetings to ensure that information is being exchanged, commitments to do between-meeting work are being honored, and to help solve procedural, substantive, or relationship problems that may arise.</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9F081D" w:rsidRPr="009F081D" w:rsidRDefault="009F081D" w:rsidP="009F081D">
            <w:pPr>
              <w:rPr>
                <w:lang w:val="en-US"/>
              </w:rPr>
            </w:pPr>
            <w:r w:rsidRPr="009F081D">
              <w:rPr>
                <w:b/>
                <w:bCs/>
                <w:lang w:val="en-US"/>
              </w:rPr>
              <w:t>15. Reporting and Roll Out</w:t>
            </w:r>
          </w:p>
          <w:p w:rsidR="00000000" w:rsidRPr="009F081D" w:rsidRDefault="009F081D" w:rsidP="009F081D">
            <w:pPr>
              <w:rPr>
                <w:lang w:val="en-US"/>
              </w:rPr>
            </w:pPr>
          </w:p>
        </w:tc>
        <w:tc>
          <w:tcPr>
            <w:tcW w:w="984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tcPr>
          <w:p w:rsidR="00000000" w:rsidRPr="009F081D" w:rsidRDefault="009F081D" w:rsidP="009F081D">
            <w:pPr>
              <w:rPr>
                <w:lang w:val="en-US"/>
              </w:rPr>
            </w:pPr>
            <w:r w:rsidRPr="009F081D">
              <w:rPr>
                <w:lang w:val="en-US"/>
              </w:rPr>
              <w:t xml:space="preserve">Typically, most dialogues produce a set of recommendations, guidance to government, or a report on future directions. It is important that leaders play an active role in distributing such reports and ensuring the widest possible logical policy relevance and use. </w:t>
            </w:r>
          </w:p>
        </w:tc>
      </w:tr>
      <w:tr w:rsidR="009F081D" w:rsidRPr="009F081D" w:rsidTr="009F081D">
        <w:trPr>
          <w:trHeight w:val="585"/>
        </w:trPr>
        <w:tc>
          <w:tcPr>
            <w:tcW w:w="31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b/>
                <w:bCs/>
                <w:lang w:val="en-US"/>
              </w:rPr>
              <w:t>16. Feedback and Continuous Excellence</w:t>
            </w:r>
          </w:p>
        </w:tc>
        <w:tc>
          <w:tcPr>
            <w:tcW w:w="984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tcPr>
          <w:p w:rsidR="00000000" w:rsidRPr="009F081D" w:rsidRDefault="009F081D" w:rsidP="009F081D">
            <w:pPr>
              <w:rPr>
                <w:lang w:val="en-US"/>
              </w:rPr>
            </w:pPr>
            <w:r w:rsidRPr="009F081D">
              <w:rPr>
                <w:lang w:val="en-US"/>
              </w:rPr>
              <w:t>All dialogues are participant-driven, that is, the deliberation group sets the agenda, charts course corrections, and makes key decisions regarding the substance and process of the issue under discussion. However, it is crucial that co- conveners and/or facilitators solicit ongoing evaluation of the work, both during and after the life of a specific dialogue.</w:t>
            </w:r>
          </w:p>
        </w:tc>
      </w:tr>
    </w:tbl>
    <w:p w:rsidR="009F081D" w:rsidRDefault="009F081D"/>
    <w:p w:rsidR="00DA09EA" w:rsidRDefault="009F081D">
      <w:r>
        <w:t>Extracted from the Intractability website (</w:t>
      </w:r>
      <w:r w:rsidRPr="009F081D">
        <w:t>http://www.beyondintractability.org/essay/policy_dialogue/</w:t>
      </w:r>
      <w:r>
        <w:t>)</w:t>
      </w:r>
    </w:p>
    <w:sectPr w:rsidR="00DA09EA" w:rsidSect="009F081D">
      <w:pgSz w:w="16834" w:h="11904" w:orient="landscape"/>
      <w:pgMar w:top="340" w:right="720" w:bottom="340" w:left="431" w:gutter="0"/>
      <w:cols w:space="708"/>
      <w:docGrid w:linePitch="360"/>
      <w:printerSettings r:id="rId1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F081D"/>
    <w:rsid w:val="009F081D"/>
  </w:rsids>
  <m:mathPr>
    <m:mathFont m:val="Wingdings 2"/>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D7E"/>
    <w:rPr>
      <w:lang w:val="en-GB"/>
    </w:rPr>
  </w:style>
  <w:style w:type="paragraph" w:styleId="Titre4">
    <w:name w:val="heading 4"/>
    <w:basedOn w:val="Normal"/>
    <w:next w:val="Normal"/>
    <w:link w:val="Titre4Car"/>
    <w:autoRedefine/>
    <w:qFormat/>
    <w:rsid w:val="006A6B66"/>
    <w:pPr>
      <w:keepNext/>
      <w:spacing w:before="240" w:after="60"/>
      <w:outlineLvl w:val="3"/>
    </w:pPr>
    <w:rPr>
      <w:rFonts w:ascii="Times New Roman" w:eastAsia="Times New Roman" w:hAnsi="Times New Roman" w:cs="Times New Roman"/>
      <w:b/>
      <w:bCs/>
      <w:sz w:val="28"/>
      <w:szCs w:val="28"/>
      <w:lang w:eastAsia="en-GB"/>
    </w:rPr>
  </w:style>
  <w:style w:type="character" w:default="1" w:styleId="Policepardfaut">
    <w:name w:val="Default Paragraph Font"/>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character" w:customStyle="1" w:styleId="Titre4Car">
    <w:name w:val="Titre 4 Car"/>
    <w:basedOn w:val="Policepardfaut"/>
    <w:link w:val="Titre4"/>
    <w:rsid w:val="006A6B66"/>
    <w:rPr>
      <w:rFonts w:ascii="Times New Roman" w:eastAsia="Times New Roman" w:hAnsi="Times New Roman" w:cs="Times New Roman"/>
      <w:b/>
      <w:bCs/>
      <w:sz w:val="28"/>
      <w:szCs w:val="28"/>
      <w:lang w:val="en-GB" w:eastAsia="en-GB"/>
    </w:rPr>
  </w:style>
  <w:style w:type="paragraph" w:customStyle="1" w:styleId="oa1">
    <w:name w:val="oa1"/>
    <w:basedOn w:val="Normal"/>
    <w:rsid w:val="009F081D"/>
    <w:pPr>
      <w:pBdr>
        <w:top w:val="single" w:sz="8" w:space="4" w:color="FFFFFF"/>
        <w:left w:val="single" w:sz="8" w:space="7" w:color="FFFFFF"/>
        <w:bottom w:val="single" w:sz="24" w:space="4" w:color="FFFFFF"/>
        <w:right w:val="single" w:sz="8" w:space="7" w:color="FFFFFF"/>
      </w:pBdr>
      <w:shd w:val="clear" w:color="auto" w:fill="BBE0E3"/>
      <w:spacing w:beforeLines="1" w:afterLines="1"/>
      <w:textAlignment w:val="top"/>
    </w:pPr>
    <w:rPr>
      <w:rFonts w:ascii="Times" w:hAnsi="Times"/>
      <w:sz w:val="20"/>
      <w:szCs w:val="20"/>
      <w:lang w:val="en-US" w:eastAsia="fr-FR"/>
    </w:rPr>
  </w:style>
  <w:style w:type="paragraph" w:customStyle="1" w:styleId="oa2">
    <w:name w:val="oa2"/>
    <w:basedOn w:val="Normal"/>
    <w:rsid w:val="009F081D"/>
    <w:pPr>
      <w:pBdr>
        <w:top w:val="single" w:sz="24" w:space="4" w:color="FFFFFF"/>
        <w:left w:val="single" w:sz="8" w:space="7" w:color="FFFFFF"/>
        <w:bottom w:val="single" w:sz="8" w:space="4" w:color="FFFFFF"/>
        <w:right w:val="single" w:sz="8" w:space="7" w:color="FFFFFF"/>
      </w:pBdr>
      <w:shd w:val="clear" w:color="auto" w:fill="E7F3F4"/>
      <w:spacing w:beforeLines="1" w:afterLines="1"/>
      <w:textAlignment w:val="top"/>
    </w:pPr>
    <w:rPr>
      <w:rFonts w:ascii="Times" w:hAnsi="Times"/>
      <w:sz w:val="20"/>
      <w:szCs w:val="20"/>
      <w:lang w:val="en-US" w:eastAsia="fr-FR"/>
    </w:rPr>
  </w:style>
  <w:style w:type="paragraph" w:customStyle="1" w:styleId="oa3">
    <w:name w:val="oa3"/>
    <w:basedOn w:val="Normal"/>
    <w:rsid w:val="009F081D"/>
    <w:pPr>
      <w:pBdr>
        <w:top w:val="single" w:sz="8" w:space="4" w:color="FFFFFF"/>
        <w:left w:val="single" w:sz="8" w:space="7" w:color="FFFFFF"/>
        <w:bottom w:val="single" w:sz="8" w:space="4" w:color="FFFFFF"/>
        <w:right w:val="single" w:sz="8" w:space="7" w:color="FFFFFF"/>
      </w:pBdr>
      <w:shd w:val="clear" w:color="auto" w:fill="F3F9FA"/>
      <w:spacing w:beforeLines="1" w:afterLines="1"/>
      <w:textAlignment w:val="top"/>
    </w:pPr>
    <w:rPr>
      <w:rFonts w:ascii="Times" w:hAnsi="Times"/>
      <w:sz w:val="20"/>
      <w:szCs w:val="20"/>
      <w:lang w:val="en-US" w:eastAsia="fr-FR"/>
    </w:rPr>
  </w:style>
  <w:style w:type="paragraph" w:customStyle="1" w:styleId="oa4">
    <w:name w:val="oa4"/>
    <w:basedOn w:val="Normal"/>
    <w:rsid w:val="009F081D"/>
    <w:pPr>
      <w:pBdr>
        <w:top w:val="single" w:sz="8" w:space="4" w:color="FFFFFF"/>
        <w:left w:val="single" w:sz="8" w:space="7" w:color="FFFFFF"/>
        <w:bottom w:val="single" w:sz="8" w:space="4" w:color="FFFFFF"/>
        <w:right w:val="single" w:sz="8" w:space="7" w:color="FFFFFF"/>
      </w:pBdr>
      <w:shd w:val="clear" w:color="auto" w:fill="E7F3F4"/>
      <w:spacing w:beforeLines="1" w:afterLines="1"/>
      <w:textAlignment w:val="top"/>
    </w:pPr>
    <w:rPr>
      <w:rFonts w:ascii="Times" w:hAnsi="Times"/>
      <w:sz w:val="20"/>
      <w:szCs w:val="20"/>
      <w:lang w:val="en-US" w:eastAsia="fr-FR"/>
    </w:rPr>
  </w:style>
  <w:style w:type="paragraph" w:styleId="NormalWeb">
    <w:name w:val="Normal (Web)"/>
    <w:basedOn w:val="Normal"/>
    <w:uiPriority w:val="99"/>
    <w:rsid w:val="009F081D"/>
    <w:pPr>
      <w:spacing w:beforeLines="1" w:afterLines="1"/>
    </w:pPr>
    <w:rPr>
      <w:rFonts w:ascii="Times" w:hAnsi="Times" w:cs="Times New Roman"/>
      <w:sz w:val="20"/>
      <w:szCs w:val="20"/>
      <w:lang w:val="en-US" w:eastAsia="fr-FR"/>
    </w:rPr>
  </w:style>
  <w:style w:type="character" w:styleId="Lienhypertexte">
    <w:name w:val="Hyperlink"/>
    <w:basedOn w:val="Policepardfaut"/>
    <w:uiPriority w:val="99"/>
    <w:rsid w:val="009F081D"/>
    <w:rPr>
      <w:color w:val="0000FF"/>
      <w:u w:val="single"/>
    </w:rPr>
  </w:style>
  <w:style w:type="character" w:styleId="Lienhypertextesuivi">
    <w:name w:val="FollowedHyperlink"/>
    <w:basedOn w:val="Policepardfaut"/>
    <w:uiPriority w:val="99"/>
    <w:rsid w:val="009F081D"/>
    <w:rPr>
      <w:color w:val="0000FF"/>
      <w:u w:val="single"/>
    </w:rPr>
  </w:style>
</w:styles>
</file>

<file path=word/webSettings.xml><?xml version="1.0" encoding="utf-8"?>
<w:webSettings xmlns:r="http://schemas.openxmlformats.org/officeDocument/2006/relationships" xmlns:w="http://schemas.openxmlformats.org/wordprocessingml/2006/main">
  <w:divs>
    <w:div w:id="10673862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beyondintractability.org/essay/fact-finding/" TargetMode="External"/><Relationship Id="rId4" Type="http://schemas.openxmlformats.org/officeDocument/2006/relationships/hyperlink" Target="http://www.beyondintractability.org/essay/framing/" TargetMode="External"/><Relationship Id="rId10" Type="http://schemas.openxmlformats.org/officeDocument/2006/relationships/printerSettings" Target="printerSettings/printerSettings1.bin"/><Relationship Id="rId5" Type="http://schemas.openxmlformats.org/officeDocument/2006/relationships/hyperlink" Target="http://www.beyondintractability.org/essay/consensus_building/" TargetMode="External"/><Relationship Id="rId7" Type="http://schemas.openxmlformats.org/officeDocument/2006/relationships/hyperlink" Target="http://www.beyondintractability.org/essay/scale_up/" TargetMode="External"/><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hyperlink" Target="http://www.beyondintractability.org/essay/facilitators/" TargetMode="External"/><Relationship Id="rId3" Type="http://schemas.openxmlformats.org/officeDocument/2006/relationships/webSettings" Target="webSettings.xml"/><Relationship Id="rId6" Type="http://schemas.openxmlformats.org/officeDocument/2006/relationships/hyperlink" Target="http://www.beyondintractability.org/essay/ground_rules/"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4159</Characters>
  <Application>Microsoft Macintosh Word</Application>
  <DocSecurity>0</DocSecurity>
  <Lines>34</Lines>
  <Paragraphs>8</Paragraphs>
  <ScaleCrop>false</ScaleCrop>
  <Company>jdendura consulting</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Dendura jérôme</dc:creator>
  <cp:keywords/>
  <cp:lastModifiedBy>Dendura jérôme</cp:lastModifiedBy>
  <cp:revision>1</cp:revision>
  <dcterms:created xsi:type="dcterms:W3CDTF">2011-06-06T15:53:00Z</dcterms:created>
  <dcterms:modified xsi:type="dcterms:W3CDTF">2011-06-06T16:01:00Z</dcterms:modified>
</cp:coreProperties>
</file>